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pStyle w:val="Title"/>
        <w:spacing w:after="100"/>
        <w:jc w:val="center"/>
      </w:pPr>
      <w:r>
        <w:t xml:space="preserve">Risk Management File - ISO 14971:2019</w:t>
      </w:r>
    </w:p>
    <w:p>
      <w:pPr>
        <w:spacing w:after="2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spacing w:after="80"/>
      </w:pPr>
      <w:r>
        <w:rPr>
          <w:b/>
          <w:bCs/>
        </w:rPr>
        <w:t xml:space="preserve">Company: </w:t>
      </w:r>
      <w:r>
        <w:t xml:space="preserve">InfuTech Medical Systems AG</w:t>
      </w:r>
    </w:p>
    <w:p>
      <w:pPr>
        <w:spacing w:after="80"/>
      </w:pPr>
      <w:r>
        <w:rPr>
          <w:b/>
          <w:bCs/>
        </w:rPr>
        <w:t xml:space="preserve">Device: </w:t>
      </w:r>
      <w:r>
        <w:t xml:space="preserve">InfusoMax 3000 - Programmable Infusion Pump</w:t>
      </w:r>
    </w:p>
    <w:p>
      <w:pPr>
        <w:spacing w:after="80"/>
      </w:pPr>
      <w:r>
        <w:rPr>
          <w:b/>
          <w:bCs/>
        </w:rPr>
        <w:t xml:space="preserve">Device Class: </w:t>
      </w:r>
      <w:r>
        <w:t xml:space="preserve">IIb</w:t>
      </w:r>
    </w:p>
    <w:p>
      <w:pPr>
        <w:spacing w:after="300"/>
      </w:pPr>
      <w:r>
        <w:rPr>
          <w:b/>
          <w:bCs/>
        </w:rPr>
        <w:t xml:space="preserve">Generated: </w:t>
      </w:r>
      <w:r>
        <w:t xml:space="preserve">2026-02-07</w:t>
      </w:r>
    </w:p>
    <w:p>
      <w:pPr>
        <w:spacing w:after="3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spacing w:after="200"/>
        <w:jc w:val="center"/>
      </w:pPr>
      <w:r>
        <w:rPr>
          <w:b/>
          <w:bCs/>
          <w:color w:val="CC0000"/>
          <w:sz w:val="28"/>
          <w:szCs w:val="28"/>
        </w:rPr>
        <w:t xml:space="preserve">*** SAMPLE DOCUMENT - FOR DEMONSTRATION ONLY ***</w:t>
      </w:r>
    </w:p>
    <w:p>
      <w:pPr>
        <w:pStyle w:val="Heading1"/>
        <w:spacing w:before="300" w:after="150"/>
      </w:pPr>
      <w:r>
        <w:t xml:space="preserve">RISK MANAGEMENT FILE</w:t>
      </w:r>
    </w:p>
    <w:p>
      <w:pPr>
        <w:pStyle w:val="Heading2"/>
        <w:spacing w:before="300" w:after="150"/>
      </w:pPr>
      <w:r>
        <w:t xml:space="preserve">InfusoMax 3000 Programmable Infusion Pump</w:t>
      </w:r>
    </w:p>
    <w:p>
      <w:pPr>
        <w:pStyle w:val="Heading3"/>
        <w:spacing w:before="300" w:after="150"/>
      </w:pPr>
      <w:r>
        <w:t xml:space="preserve">InfuTech Medical Systems AG</w:t>
      </w:r>
    </w:p>
    <w:p>
      <w:pPr>
        <w:pStyle w:val="Heading1"/>
        <w:spacing w:before="300" w:after="150"/>
      </w:pPr>
      <w:r>
        <w:t xml:space="preserve">PART 1: RISK MANAGEMENT PLAN</w:t>
      </w:r>
    </w:p>
    <w:p>
      <w:pPr>
        <w:pStyle w:val="Heading2"/>
        <w:spacing w:before="300" w:after="150"/>
      </w:pPr>
      <w:r>
        <w:t xml:space="preserve">1.1 Scope and Purpose</w:t>
      </w:r>
    </w:p>
    <w:p>
      <w:pPr>
        <w:pStyle w:val="Heading3"/>
        <w:spacing w:before="300" w:after="150"/>
      </w:pPr>
      <w:r>
        <w:t xml:space="preserve">1.1.1 Scope</w:t>
      </w:r>
    </w:p>
    <w:p>
      <w:pPr>
        <w:pStyle w:val="Heading3"/>
        <w:spacing w:before="300" w:after="150"/>
      </w:pPr>
      <w:r>
        <w:t xml:space="preserve">1.1.2 Purpose</w:t>
      </w:r>
    </w:p>
    <w:p>
      <w:pPr>
        <w:pStyle w:val="Heading3"/>
        <w:spacing w:before="300" w:after="150"/>
      </w:pPr>
      <w:r>
        <w:t xml:space="preserve">1.1.3 Device Overview</w:t>
      </w:r>
    </w:p>
    <w:p>
      <w:pPr>
        <w:pStyle w:val="Heading2"/>
        <w:spacing w:before="300" w:after="150"/>
      </w:pPr>
      <w:r>
        <w:t xml:space="preserve">1.2 Risk Acceptability Criteria</w:t>
      </w:r>
    </w:p>
    <w:p>
      <w:pPr>
        <w:pStyle w:val="Heading3"/>
        <w:spacing w:before="300" w:after="150"/>
      </w:pPr>
      <w:r>
        <w:t xml:space="preserve">1.2.1 Severity Classification Table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Level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Clinical Impact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Catastrophic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Death or permanent severe disability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Patient death, irreversible organ damage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Critical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Permanent moderate disability or temporary severe disability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Major injury requiring surgical intervention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Serious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Temporary moderate disability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Hospitalization extension, moderate injury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Minor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Temporary slight disability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Minor injury, temporary discomfort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Negligible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Inconvenience without injury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No clinical impact, minor inconvenience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t xml:space="preserve">1.2.2 Probability Classification Table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Level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Probability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Frequent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Very likely to occur repeatedly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&gt; 1 in 100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Probable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Likely to occur several times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 in 1,000 to 1 in 100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Occasional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Likely to occur sometime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 in 10,000 to 1 in 1,000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Remote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Unlikely to occur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 in 100,000 to 1 in 10,000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Improbable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Very unlikely to occur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&lt; 1 in 100,000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t xml:space="preserve">1.2.3 Risk Acceptability Matrix (5x5)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Severity\Probability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P1 (Improbable)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 (Remote)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P3 (Occasional)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P4 (Probable)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P5 (Frequent)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S5 (Catastrophic)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S4 (Critical)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S3 (Serious)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S2 (Minor)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S1 (Negligible)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t xml:space="preserve">1.2.4 Detectability Classification Table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Level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Detectability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Detection Capability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Very High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Almost certain detection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Automatic detection with immediate alert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High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High chance of detection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Detectable through routine monitoring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Moderate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Moderate chance of detection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Detectable through periodic checks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Low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Low chance of detection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Detection requires specific testing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Very Low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Very low chance of detection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Unlikely to be detected before harm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t xml:space="preserve">1.3 Verification and Validation Activities</w:t>
      </w:r>
    </w:p>
    <w:p>
      <w:pPr>
        <w:pStyle w:val="Heading3"/>
        <w:spacing w:before="300" w:after="150"/>
      </w:pPr>
      <w:r>
        <w:t xml:space="preserve">1.3.1 Risk Control Verification</w:t>
      </w:r>
    </w:p>
    <w:p>
      <w:pPr>
        <w:pStyle w:val="Heading3"/>
        <w:spacing w:before="300" w:after="150"/>
      </w:pPr>
      <w:r>
        <w:t xml:space="preserve">1.3.2 Clinical Validation</w:t>
      </w:r>
    </w:p>
    <w:p>
      <w:pPr>
        <w:pStyle w:val="Heading2"/>
        <w:spacing w:before="300" w:after="150"/>
      </w:pPr>
      <w:r>
        <w:t xml:space="preserve">1.4 Production and Post-Production Risk Management Activities</w:t>
      </w:r>
    </w:p>
    <w:p>
      <w:pPr>
        <w:pStyle w:val="Heading3"/>
        <w:spacing w:before="300" w:after="150"/>
      </w:pPr>
      <w:r>
        <w:t xml:space="preserve">1.4.1 Production Risk Management</w:t>
      </w:r>
    </w:p>
    <w:p>
      <w:pPr>
        <w:pStyle w:val="Heading3"/>
        <w:spacing w:before="300" w:after="150"/>
      </w:pPr>
      <w:r>
        <w:t xml:space="preserve">1.4.2 Post-Market Activities</w:t>
      </w:r>
    </w:p>
    <w:p>
      <w:pPr>
        <w:pStyle w:val="Heading2"/>
        <w:spacing w:before="300" w:after="150"/>
      </w:pPr>
      <w:r>
        <w:t xml:space="preserve">1.5 Risk Management Team Roles and Responsibilities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Responsibility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Risk Management Lead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Overall risk management process oversight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Design Engineer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Technical risk assessment and control implementation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Clinical Affairs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Clinical risk evaluation and benefit assessment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Quality Assurance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Risk control verification and validation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Regulatory Affairs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Regulatory compliance and submission support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Post-Market Surveillance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Ongoing risk monitoring and assessment</w:t>
            </w:r>
          </w:p>
        </w:tc>
      </w:tr>
    </w:tbl>
    <w:p>
      <w:pPr>
        <w:spacing w:after="200"/>
      </w:pPr>
    </w:p>
    <w:p>
      <w:pPr>
        <w:pStyle w:val="Heading1"/>
        <w:spacing w:before="300" w:after="150"/>
      </w:pPr>
      <w:r>
        <w:t xml:space="preserve">PART 2: HAZARD IDENTIFICATION</w:t>
      </w:r>
    </w:p>
    <w:p>
      <w:pPr>
        <w:pStyle w:val="Heading2"/>
        <w:spacing w:before="300" w:after="150"/>
      </w:pPr>
      <w:r>
        <w:t xml:space="preserve">2.1 Systematic Hazard Identification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Hazard ID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Hazard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Hazardous Situation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Harm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Initial Severity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Initial Probability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Initial Risk Level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Energy - Electrical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Electrical shock from power supply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User touches exposed electrical components during maintenance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Electric shock, burns, death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Energy - Electrical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Power failure during infusion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Loss of power interrupts critical medication delivery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Therapeutic failure, patient deterioration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Energy - Electrical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EMI interference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External electromagnetic fields disrupt pump operation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Incorrect infusion rate, therapy interruption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Energy - Thermal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Overheating of internal components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Pump operates in high ambient temperature or ventilation blocked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Device malfunction, fire risk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Energy - Mechanical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Mechanical failure of pump mechanism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Wear or damage to internal pumping components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Infusion stoppage or free flow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Energy - Mechanical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Drop impact damage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Device dropped during transport or handling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Internal component damage, malfunction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Biological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Contamination of fluid pathway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Breach in sterile fluid pathway during setup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Healthcare-associated infection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Biological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Cross-contamination between patients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Inadequate cleaning/disinfection between uses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Healthcare-associated infection transmission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Chemical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Drug incompatibility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Incompatible medications mixed in fluid pathway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Precipitation, therapeutic failure, toxicity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Chemical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Chemical degradation of tubing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Certain medications degrade plastic tubing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Drug contamination, altered pharmacokinetics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Operational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Programming error - dose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User enters incorrect medication dose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Underdose or overdose of medication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Operational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Programming error - rate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User enters incorrect infusion rate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Too fast or too slow medication delivery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Operational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Incorrect drug selection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User selects wrong medication from drug library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Administration of wrong medication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Operational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Failure to respond to alarms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User ignores or doesn't hear alarm notifications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Continued unsafe condition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Operational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Improper IV line connection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IV tubing connected to wrong port or patient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Medication delivered to wrong patient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Operational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Air-in-line not detected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Air detection system fails to identify air bubbles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Air embolism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S5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Operational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Occlusion not detected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Pressure sensing fails to detect line occlusion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Therapeutic failure, line rupture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Operational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Free flow of medication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Failure of flow control mechanism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Rapid delivery of entire fluid volume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S5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Operational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Inadequate user training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User lacks proper training on device operation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Multiple use errors, patient harm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Information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Display malfunction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Screen becomes unreadable or shows incorrect data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User cannot monitor infusion status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Information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Incorrect alarm settings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Alarm limits set inappropriately for patient condition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Late detection of problems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Information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Software malfunction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Software error causes incorrect operation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Various patient safety issues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Information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Data logging failure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Infusion history not properly recorded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Inability to track therapy, dosing errors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Information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Network communication failure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Pump cannot communicate with hospital systems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Loss of remote monitoring capability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Environmental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Exposure to cleaning chemicals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Harsh disinfectants damage pump components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Device malfunction after cleaning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Environmental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Operating outside temperature range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Device used in extreme temperature conditions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Performance degradation, malfunction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Environmental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Exposure to moisture/liquids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Spilled fluids enter pump housing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Electrical short, corrosion, malfunction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Environmental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Physical impact/vibration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Excessive vibration or shock during transport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Component damage, calibration drift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Operational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Battery failure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Internal battery fails to maintain power during outage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Loss of therapy during power interruption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H030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Operational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Tubing misloading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IV tubing not properly loaded in pump mechanism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Incorrect flow rate, no flow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</w:tr>
    </w:tbl>
    <w:p>
      <w:pPr>
        <w:spacing w:after="200"/>
      </w:pPr>
    </w:p>
    <w:p>
      <w:pPr>
        <w:pStyle w:val="Heading1"/>
        <w:spacing w:before="300" w:after="150"/>
      </w:pPr>
      <w:r>
        <w:t xml:space="preserve">PART 3: PROCESS FMEA (pFMEA)</w:t>
      </w:r>
    </w:p>
    <w:p>
      <w:pPr>
        <w:pStyle w:val="Heading2"/>
        <w:spacing w:before="300" w:after="150"/>
      </w:pPr>
      <w:r>
        <w:t xml:space="preserve">3.1 Manufacturing Process Risk Analysis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Process Step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Potential Failure Mode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Effect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Cause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Probability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Detection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RPN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Risk Control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Residual Risk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pF001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PCB Assembly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Incorrect component placement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Device malfunction, safety feature failure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Human error, programming error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Automated placement verification, visual inspection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pF002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PCB Assembly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Cold solder joint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Intermittent electrical connection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Insufficient heat, contamination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Process validation, automated optical inspection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pF003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Software Installation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Wrong software version loaded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Incorrect device operation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Version control error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16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Automated version verification, checksum validation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pF004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Pump Mechanism Assembly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Improper torque on fasteners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Mechanical failure during use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Torque wrench malfunction, human error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Torque verification, calibrated tools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pF005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Pressure Sensor Calibration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Incorrect calibration values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False alarms or missed occlusions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Calibration equipment drift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Regular calibration verification, standards traceability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pF006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Display Assembly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Screen adhesive failure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Display separation, readability issues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Adhesive degradation, contamination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Environmental testing, adhesive qualification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pF007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Power Supply Testing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Inadequate electrical safety testing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Electrical hazard to user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Test equipment failure, procedure error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Redundant testing, equipment calibration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pF008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Housing Assembly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Inadequate seal integrity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Moisture ingress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Gasket damage, improper installation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Leak testing, gasket inspection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pF009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Final Functional Test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Test not performed completely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Defective unit shipped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Time pressure, incomplete procedures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Automated test sequences, verification checkpoints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pF010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Alarm System Test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Alarm volume insufficient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User may not hear alarms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Speaker defect, test procedure gap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Acoustic testing, multiple test points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pF011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Battery Installation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Wrong battery type installed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Power system failure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Part number confusion, supplier error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16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Part number verification, incoming inspection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pF012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Flow Sensor Assembly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Sensor misalignment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Inaccurate flow measurement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Fixturing error, dimensional variation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Alignment verification, functional testing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pF013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Packaging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Damage during packaging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Product damage before use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Rough handling, inadequate protection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18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Packaging validation, handling procedures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pF014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Quality Control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Sampling error in inspection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Defective units not detected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Statistical sampling error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Enhanced sampling plans, inspector training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pF015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Sterilization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Insufficient sterilization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Bioburden on device surfaces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Process parameter deviation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Process monitoring, biological indicators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</w:tbl>
    <w:p>
      <w:pPr>
        <w:spacing w:after="200"/>
      </w:pPr>
    </w:p>
    <w:p>
      <w:pPr>
        <w:pStyle w:val="Heading1"/>
        <w:spacing w:before="300" w:after="150"/>
      </w:pPr>
      <w:r>
        <w:t xml:space="preserve">PART 4: PRODUCT FMEA (dFMEA)</w:t>
      </w:r>
    </w:p>
    <w:p>
      <w:pPr>
        <w:pStyle w:val="Heading2"/>
        <w:spacing w:before="300" w:after="150"/>
      </w:pPr>
      <w:r>
        <w:t xml:space="preserve">4.1 Design Risk Analysis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Component/Function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Potential Failure Mode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Effect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Cause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Probability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Detection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RPN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Risk Control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Residual Risk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dF001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Pump Motor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Motor stall/failure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Infusion stops, no medication delivery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Mechanical wear, electrical failure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8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Motor current monitoring, redundant flow sensing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dF002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Pressure Sensor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False occlusion alarm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Unnecessary therapy interruption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Sensor drift, contamination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Regular calibration, self-test function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dF003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Air-in-Line Detector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Fails to detect air bubbles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Air embolism risk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Optical sensor contamination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Redundant detection methods, self-test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dF004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Flow Control Valve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Valve sticks open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Free flow of medication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5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Contamination, mechanical wear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Multiple valve design, flow monitoring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dF005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Touchscreen Display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Display becomes unresponsive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Cannot control or monitor infusion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Software hang, hardware failure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8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Watchdog timer, hardware buttons backup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dF006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Power Supply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Output voltage regulation failure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Device malfunction or shutdown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Component aging, thermal stress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Voltage monitoring, backup power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dF007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Battery System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Battery does not charge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No backup power during outage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Charging circuit failure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16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Battery status monitoring, charge indicators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dF008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CPU/Processor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Processor lockup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Complete device failure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Software bug, hardware failure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Watchdog timer, fault detection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dF009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Memory (RAM)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Data corruption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Incorrect infusion parameters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Cosmic radiation, electrical noise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16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Error correction codes, data validation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dF010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Memory (Flash)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Program corruption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Device inoperable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Write/erase cycles, power loss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Checksums, dual boot capability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dF011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Alarm Speaker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Speaker failure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Audible alarms not heard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Component failure, connection loss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Redundant alarm methods, self-test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dF012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Tubing Sensor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Fails to detect tubing presence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Pump operates without tubing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Sensor failure, mechanical damage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Multiple sensing methods, interlock system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dF013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Door/Access Panel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Door opens during operation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Tubing displacement, flow disruption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Latch failure, user error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Door sensor, automatic stop function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dF014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Network Interface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Communication failure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Loss of remote monitoring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Hardware failure, network issues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Local operation capability, status indicators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dF015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Drug Library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Corrupted drug data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Wrong dosing limits applied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Software error, data corruption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Data integrity checks, backup storage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dF016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Flow Rate Sensor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Inaccurate flow measurement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Wrong medication delivery rate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Sensor drift, mechanical wear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Regular calibration, cross-check with other sensors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dF017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Keypad/Buttons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Button does not respond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Cannot enter parameters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Mechanical wear, contamination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Touchscreen backup, tactile feedback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dF018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Housing/Enclosure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Crack or breach in housing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Contamination, moisture ingress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Impact damage, material fatigue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Impact testing, material selection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dF019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Mounting System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Mount fails during use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Device falls, physical damage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Mechanical failure, overload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6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Load testing, safety factor in design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dF020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Real-Time Clock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Clock drift/failure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Incorrect time stamps, scheduling errors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Crystal aging, temperature variation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Network time sync, user notification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</w:tbl>
    <w:p>
      <w:pPr>
        <w:spacing w:after="200"/>
      </w:pPr>
    </w:p>
    <w:p>
      <w:pPr>
        <w:pStyle w:val="Heading1"/>
        <w:spacing w:before="300" w:after="150"/>
      </w:pPr>
      <w:r>
        <w:t xml:space="preserve">PART 5: CLINICAL FMEA</w:t>
      </w:r>
    </w:p>
    <w:p>
      <w:pPr>
        <w:pStyle w:val="Heading2"/>
        <w:spacing w:before="300" w:after="150"/>
      </w:pPr>
      <w:r>
        <w:t xml:space="preserve">5.1 Clinical Use Risk Analysis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Clinical Scenario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Potential Failure Mode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Clinical Effect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Cause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Probability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Detection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RPN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Risk Control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Residual Risk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cF001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Critical care medication infusion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Overdose due to programming error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Patient toxicity, organ damage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Nurse enters wrong dose, decimal point error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Drug library with dosing limits, double verification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cF002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Chemotherapy administration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Wrong medication selected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Inappropriate chemotherapy, delayed treatment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Similar drug names, user confusion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Distinctive drug library entries, barcode scanning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cF003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Pain management infusion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Underdose of analgesic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Inadequate pain control, patient suffering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Programming error, pump malfunction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Pain assessment protocols, backup pain management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cF004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Parenteral nutrition delivery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Interruption of nutrition therapy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Malnutrition, delayed recovery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Pump failure, tubing occlusion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Backup feeding methods, close monitoring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cF005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Insulin infusion in ICU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Hypoglycemic event from overdose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Coma, brain damage, death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Calculation error, pump malfunction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Glucose monitoring protocols, smart dosing algorithms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cF006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Antibiotic therapy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Subtherapeutic antibiotic levels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Treatment failure, resistance development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Underdosing, infusion interruption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27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Therapeutic monitoring, backup administration routes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cF007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Fluid resuscitation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Inadequate fluid delivery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Hemodynamic instability, shock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Flow rate error, line disconnection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16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Hemodynamic monitoring, multiple access sites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cF008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Pediatric medication infusion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Overdose in small patient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Enhanced drug sensitivity, toxicity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5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Weight-based calculation error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Pediatric drug library, weight verification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cF009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Sedation during procedures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Oversedation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Respiratory depression, airway compromise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Incorrect dosing, drug accumulation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16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Continuous monitoring, reversal agents available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cF010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Emergency medication administration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Delayed drug delivery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Therapeutic failure in critical situation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Complex programming, user error under stress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Emergency drug protocols, simplified interfaces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</w:tbl>
    <w:p>
      <w:pPr>
        <w:spacing w:after="200"/>
      </w:pPr>
    </w:p>
    <w:p>
      <w:pPr>
        <w:pStyle w:val="Heading1"/>
        <w:spacing w:before="300" w:after="150"/>
      </w:pPr>
      <w:r>
        <w:t xml:space="preserve">PART 6: USABILITY FMEA</w:t>
      </w:r>
    </w:p>
    <w:p>
      <w:pPr>
        <w:pStyle w:val="Heading2"/>
        <w:spacing w:before="300" w:after="150"/>
      </w:pPr>
      <w:r>
        <w:t xml:space="preserve">6.1 Use-Related Risk Analysis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Use Task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Use Error / Misuse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Hazardous Situation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Harm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Probability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Detection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RPN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Risk Control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Residual Risk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uF001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Programming drug dose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Entering dose in wrong units (mg vs mcg)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1000x overdose administered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Drug toxicity, death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Unit selection prominent, confirmation screens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uF002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Setting infusion rate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Confusion between rate and volume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Too rapid or too slow delivery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Therapeutic failure, toxicity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Clear labels, separate input fields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uF003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Connecting IV tubing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Tubing connected backwards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No drug delivery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Therapeutic failure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8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Keyed connectors, visual indicators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uF004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Responding to alarms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Silencing alarm without addressing cause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Continued unsafe condition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Patient harm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Escalating alarms, mandatory acknowledgment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uF005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Loading tubing in pump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Tubing not fully seated in mechanism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Inaccurate flow rate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Wrong drug delivery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Tubing presence sensors, load verification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uF006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Selecting from drug library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Selecting similar-named drug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Wrong medication administered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Adverse drug reaction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5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Distinctive drug names, confirmation prompts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uF007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Setting alarm limits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Setting limits too wide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Late detection of problems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Delayed intervention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Default limits, range restrictions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uF008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Reading display information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Misreading small text/numbers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Incorrect interpretation of status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Inappropriate clinical decisions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27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Large fonts, high contrast display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uF009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Cleaning/disinfecting device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Using inappropriate cleaning agent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Device damage, contamination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Device failure, infection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4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16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Cleaning instructions, material compatibility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uF010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Battery management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Not connecting to power during use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Battery depletion, therapy interruption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Therapeutic failure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Battery status indicators, low power alarms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</w:tr>
    </w:tbl>
    <w:p>
      <w:pPr>
        <w:spacing w:after="200"/>
      </w:pPr>
    </w:p>
    <w:p>
      <w:pPr>
        <w:pStyle w:val="Heading1"/>
        <w:spacing w:before="300" w:after="150"/>
      </w:pPr>
      <w:r>
        <w:t xml:space="preserve">PART 7: RISK CONTROL MEASURES</w:t>
      </w:r>
    </w:p>
    <w:p>
      <w:pPr>
        <w:pStyle w:val="Heading2"/>
        <w:spacing w:before="300" w:after="150"/>
      </w:pPr>
      <w:r>
        <w:t xml:space="preserve">7.1 Risk Control Options Analysis</w:t>
      </w:r>
    </w:p>
    <w:p>
      <w:pPr>
        <w:pStyle w:val="Heading3"/>
        <w:spacing w:before="300" w:after="150"/>
      </w:pPr>
      <w:r>
        <w:t xml:space="preserve">7.1.1 Inherent Safety by Design</w:t>
      </w:r>
    </w:p>
    <w:p>
      <w:pPr>
        <w:pStyle w:val="Heading3"/>
        <w:spacing w:before="300" w:after="150"/>
      </w:pPr>
      <w:r>
        <w:t xml:space="preserve">7.1.2 Protective Measures in Device</w:t>
      </w:r>
    </w:p>
    <w:p>
      <w:pPr>
        <w:pStyle w:val="Heading3"/>
        <w:spacing w:before="300" w:after="150"/>
      </w:pPr>
      <w:r>
        <w:t xml:space="preserve">7.1.3 Information for Safety</w:t>
      </w:r>
    </w:p>
    <w:p>
      <w:pPr>
        <w:pStyle w:val="Heading2"/>
        <w:spacing w:before="300" w:after="150"/>
      </w:pPr>
      <w:r>
        <w:t xml:space="preserve">7.2 Risk Control Measures Summary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Risk ID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Hazard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Risk Control Measure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Verification Method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Residual Risk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Acceptable?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Electrical shock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Double insulation, protective earthing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Inherent Design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IEC 60601-1 testing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Power failure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Battery backup system, power loss alarms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Protective Measure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Battery life testing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EMI interference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EMC design, shielding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Inherent Design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IEC 60601-1-2 testing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Overheating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Temperature monitoring, thermal shutdown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Protective Measure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Thermal testing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Mechanical failure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Multiple flow sensors, pump monitoring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Protective Measure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Reliability testing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Drop impact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Robust housing design, shock mounting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Inherent Design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Drop testing per IEC 60601-1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Fluid pathway contamination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Sterile disposable sets, closed system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Inherent Design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Sterility testing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Cross-contamination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Cleaning procedures, non-contact surfaces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Information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Cleaning validation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H009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Drug incompatibility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Drug library compatibility checks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Protective Measure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Clinical validation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Chemical tubing degradation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Compatible materials, usage guidelines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Inherent Design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Material testing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Dose programming error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Drug library dose limits, confirmation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Protective Measure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Usability testing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Rate programming error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Rate limit checks, unit verification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Protective Measure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Software testing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Wrong drug selection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Distinctive naming, barcode integration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Protective Measure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Usability validation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Ignoring alarms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Escalating alarms, visual indicators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Protective Measure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Alarm testing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Wrong line connection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Color coding, unique connectors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Inherent Design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Human factors testing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Air detection failure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Redundant air sensors, self-test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Protective Measure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Sensitivity testing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Occlusion detection failure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Multiple pressure sensors, trending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Protective Measure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Pressure testing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Free flow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Anti-free-flow valve, flow monitoring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Inherent Design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Flow testing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H019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Inadequate training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Comprehensive training program, competency testing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Information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Training validation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Display malfunction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Display self-test, backup indicators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Protective Measure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Display testing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H021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Wrong alarm settings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Default limits, range restrictions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Protective Measure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Software validation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H022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Software malfunction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Software testing, fault handling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Inherent Design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IEC 62304 compliance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H023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Data logging failure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Redundant storage, error detection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Protective Measure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Data integrity testing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H024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Network failure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Local operation capability, status display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Inherent Design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Network testing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H025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Chemical exposure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Chemical-resistant materials, IP rating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Inherent Design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Chemical compatibility testing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H026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Temperature extremes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Operating range specification, warnings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Information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Environmental testing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Moisture exposure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IP54 rating, sealed enclosure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Inherent Design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Ingress protection testing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H028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Physical impact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Shock-resistant design, mounting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Inherent Design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Vibration/shock testing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H029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Battery failure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Battery monitoring, replacement indicators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Protective Measure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Battery testing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H030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Tubing misloading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Tubing guides, presence sensors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Inherent Design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Loading mechanism testing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Yes</w:t>
            </w:r>
          </w:p>
        </w:tc>
      </w:tr>
    </w:tbl>
    <w:p>
      <w:pPr>
        <w:spacing w:after="200"/>
      </w:pPr>
    </w:p>
    <w:p>
      <w:pPr>
        <w:pStyle w:val="Heading1"/>
        <w:spacing w:before="300" w:after="150"/>
      </w:pPr>
      <w:r>
        <w:t xml:space="preserve">PART 8: RISK-BENEFIT ANALYSIS</w:t>
      </w:r>
    </w:p>
    <w:p>
      <w:pPr>
        <w:pStyle w:val="Heading2"/>
        <w:spacing w:before="300" w:after="150"/>
      </w:pPr>
      <w:r>
        <w:t xml:space="preserve">8.1 Overall Residual Risk Evaluation</w:t>
      </w:r>
    </w:p>
    <w:p>
      <w:pPr>
        <w:pStyle w:val="Heading2"/>
        <w:spacing w:before="300" w:after="150"/>
      </w:pPr>
      <w:r>
        <w:t xml:space="preserve">8.2 Risk-Benefit Determination</w:t>
      </w:r>
    </w:p>
    <w:p>
      <w:pPr>
        <w:pStyle w:val="Heading3"/>
        <w:spacing w:before="300" w:after="150"/>
      </w:pPr>
      <w:r>
        <w:t xml:space="preserve">8.2.1 Clinical Benefits</w:t>
      </w:r>
    </w:p>
    <w:p>
      <w:pPr>
        <w:pStyle w:val="Heading3"/>
        <w:spacing w:before="300" w:after="150"/>
      </w:pPr>
      <w:r>
        <w:t xml:space="preserve">8.2.2 Risk-Benefit Assessment</w:t>
      </w:r>
    </w:p>
    <w:p>
      <w:pPr>
        <w:pStyle w:val="Heading2"/>
        <w:spacing w:before="300" w:after="150"/>
      </w:pPr>
      <w:r>
        <w:t xml:space="preserve">8.3 Comparison with State of the Art</w:t>
      </w:r>
    </w:p>
    <w:p>
      <w:pPr>
        <w:pStyle w:val="Heading2"/>
        <w:spacing w:before="300" w:after="150"/>
      </w:pPr>
      <w:r>
        <w:t xml:space="preserve">8.4 Conclusions</w:t>
      </w:r>
    </w:p>
    <w:tbl>
      <w:tblPr>
        <w:tblW w:type="pct" w:w="100%"/>
        <w:tblBorders>
          <w:top w:val="single" w:color="CCCCCC" w:sz="1"/>
          <w:left w:val="single" w:color="CCCCCC" w:sz="1"/>
          <w:bottom w:val="single" w:color="CCCCCC" w:sz="1"/>
          <w:right w:val="single" w:color="CCCCCC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Residual Risk Category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Count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Percentage</w:t>
            </w:r>
          </w:p>
        </w:tc>
        <w:tc>
          <w:tcPr>
            <w:shd w:fill="1E3A5F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Acceptability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27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90.0%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Within acceptable limits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ALARP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10.0%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As Low As Reasonably Practicable</w:t>
            </w:r>
          </w:p>
        </w:tc>
      </w:tr>
      <w:tr>
        <w:trPr>
          <w:tblHeader w:val="false"/>
        </w:trPr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Unacceptable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0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0.0%</w:t>
            </w:r>
          </w:p>
        </w:tc>
        <w:tc>
          <w:tcPr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None remaining</w:t>
            </w:r>
          </w:p>
        </w:tc>
      </w:tr>
      <w:tr>
        <w:trPr>
          <w:tblHeader w:val="false"/>
        </w:trPr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Total Risks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30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100.0%</w:t>
            </w:r>
          </w:p>
        </w:tc>
        <w:tc>
          <w:tcPr>
            <w:shd w:fill="F5F5F5"/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spacing w:before="40" w:after="40"/>
            </w:pPr>
            <w:r>
              <w:rPr>
                <w:b w:val="false"/>
                <w:bCs w:val="false"/>
                <w:color w:val="333333"/>
                <w:sz w:val="16"/>
                <w:szCs w:val="16"/>
              </w:rPr>
              <w:t xml:space="preserve">All controlled</w:t>
            </w:r>
          </w:p>
        </w:tc>
      </w:tr>
    </w:tbl>
    <w:p>
      <w:pPr>
        <w:spacing w:after="200"/>
      </w:pPr>
    </w:p>
    <w:p>
      <w:pPr>
        <w:pStyle w:val="Heading1"/>
        <w:spacing w:before="300" w:after="150"/>
      </w:pPr>
      <w:r>
        <w:t xml:space="preserve">PART 9: RISK MANAGEMENT REPORT</w:t>
      </w:r>
    </w:p>
    <w:p>
      <w:pPr>
        <w:pStyle w:val="Heading2"/>
        <w:spacing w:before="300" w:after="150"/>
      </w:pPr>
      <w:r>
        <w:t xml:space="preserve">9.1 Summary of Risk Management Activities</w:t>
      </w:r>
    </w:p>
    <w:p>
      <w:pPr>
        <w:pStyle w:val="Heading2"/>
        <w:spacing w:before="300" w:after="150"/>
      </w:pPr>
      <w:r>
        <w:t xml:space="preserve">9.2 Risk Management Plan Fulfillment</w:t>
      </w:r>
    </w:p>
    <w:p>
      <w:pPr>
        <w:pStyle w:val="Heading3"/>
        <w:spacing w:before="300" w:after="150"/>
      </w:pPr>
      <w:r>
        <w:t xml:space="preserve">9.2.1 Completed Activities</w:t>
      </w:r>
    </w:p>
    <w:p>
      <w:pPr>
        <w:pStyle w:val="Heading3"/>
        <w:spacing w:before="300" w:after="150"/>
      </w:pPr>
      <w:r>
        <w:t xml:space="preserve">9.2.2 Verification Activities</w:t>
      </w:r>
    </w:p>
    <w:p>
      <w:pPr>
        <w:pStyle w:val="Heading2"/>
        <w:spacing w:before="300" w:after="150"/>
      </w:pPr>
      <w:r>
        <w:t xml:space="preserve">9.3 Overall Residual Risk Acceptability Statement</w:t>
      </w:r>
    </w:p>
    <w:p>
      <w:pPr>
        <w:pStyle w:val="Heading2"/>
        <w:spacing w:before="300" w:after="150"/>
      </w:pPr>
      <w:r>
        <w:t xml:space="preserve">9.4 Production and Post-Production Information Review</w:t>
      </w:r>
    </w:p>
    <w:p>
      <w:pPr>
        <w:pStyle w:val="Heading3"/>
        <w:spacing w:before="300" w:after="150"/>
      </w:pPr>
      <w:r>
        <w:t xml:space="preserve">9.4.1 Production Risk Management</w:t>
      </w:r>
    </w:p>
    <w:p>
      <w:pPr>
        <w:pStyle w:val="Heading3"/>
        <w:spacing w:before="300" w:after="150"/>
      </w:pPr>
      <w:r>
        <w:t xml:space="preserve">9.4.2 Post-Market Surveillance Plan</w:t>
      </w:r>
    </w:p>
    <w:p>
      <w:pPr>
        <w:pStyle w:val="Heading2"/>
        <w:spacing w:before="300" w:after="150"/>
      </w:pPr>
      <w:r>
        <w:t xml:space="preserve">9.5 Conclusions and Approval</w:t>
      </w:r>
    </w:p>
    <w:p>
      <w:pPr>
        <w:pStyle w:val="Heading3"/>
        <w:spacing w:before="300" w:after="150"/>
      </w:pPr>
      <w:r>
        <w:t xml:space="preserve">9.5.1 Risk Management Conclusions</w:t>
      </w:r>
    </w:p>
    <w:p>
      <w:pPr>
        <w:pStyle w:val="Heading3"/>
        <w:spacing w:before="300" w:after="150"/>
      </w:pPr>
      <w:r>
        <w:t xml:space="preserve">9.5.2 Approval</w:t>
      </w:r>
    </w:p>
    <w:p>
      <w:pPr>
        <w:spacing w:before="300" w:after="200"/>
        <w:jc w:val="center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pStyle w:val="Heading1"/>
        <w:spacing w:before="200" w:after="200"/>
      </w:pPr>
      <w:r>
        <w:t xml:space="preserve">APPROVAL SIGNATURES</w:t>
      </w:r>
    </w:p>
    <w:p>
      <w:pPr>
        <w:spacing w:after="150"/>
      </w:pPr>
      <w:r>
        <w:t xml:space="preserve">Prepared by: _________________ Date: __________</w:t>
      </w:r>
    </w:p>
    <w:p>
      <w:pPr>
        <w:spacing w:after="150"/>
      </w:pPr>
      <w:r>
        <w:t xml:space="preserve">Reviewed by: _________________ Date: __________</w:t>
      </w:r>
    </w:p>
    <w:p>
      <w:pPr>
        <w:spacing w:after="200"/>
      </w:pPr>
      <w:r>
        <w:t xml:space="preserve">Approved by: _________________ Date: __________</w:t>
      </w:r>
    </w:p>
    <w:p>
      <w:pPr>
        <w:spacing w:before="200"/>
        <w:jc w:val="center"/>
      </w:pPr>
      <w:r>
        <w:rPr>
          <w:b/>
          <w:bCs/>
          <w:color w:val="CC0000"/>
        </w:rPr>
        <w:t xml:space="preserve">*** SAMPLE DOCUMENT - FOR DEMONSTRATION ONLY ***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2026-02-07T12:51:20.702Z</dcterms:created>
  <dcterms:modified xsi:type="dcterms:W3CDTF">2026-02-07T12:51:20.702Z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